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color w:val="000000"/>
          <w:sz w:val="36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0"/>
          <w:lang w:eastAsia="zh-CN"/>
        </w:rPr>
        <w:drawing>
          <wp:inline distT="0" distB="0" distL="114300" distR="114300">
            <wp:extent cx="1934210" cy="2217420"/>
            <wp:effectExtent l="0" t="0" r="8890" b="1143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bCs w:val="0"/>
          <w:color w:val="000000"/>
          <w:sz w:val="72"/>
          <w:szCs w:val="72"/>
          <w:lang w:eastAsia="zh-CN"/>
        </w:rPr>
      </w:pPr>
    </w:p>
    <w:p>
      <w:pPr>
        <w:spacing w:after="156" w:afterLines="50"/>
        <w:jc w:val="center"/>
        <w:rPr>
          <w:rFonts w:hint="eastAsia" w:ascii="楷体" w:hAnsi="楷体" w:eastAsia="楷体" w:cs="楷体"/>
          <w:b/>
          <w:bCs w:val="0"/>
          <w:color w:val="000000"/>
          <w:sz w:val="72"/>
          <w:szCs w:val="72"/>
          <w:lang w:eastAsia="zh-CN"/>
        </w:rPr>
      </w:pPr>
    </w:p>
    <w:p>
      <w:pPr>
        <w:spacing w:after="156" w:afterLines="50"/>
        <w:jc w:val="center"/>
        <w:rPr>
          <w:rFonts w:hint="eastAsia" w:ascii="楷体" w:hAnsi="楷体" w:eastAsia="楷体" w:cs="楷体"/>
          <w:b/>
          <w:bCs w:val="0"/>
          <w:color w:val="000000"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72"/>
          <w:szCs w:val="72"/>
          <w:lang w:eastAsia="zh-CN"/>
        </w:rPr>
        <w:t>卡</w:t>
      </w:r>
      <w:r>
        <w:rPr>
          <w:rFonts w:hint="eastAsia" w:ascii="楷体" w:hAnsi="楷体" w:eastAsia="楷体" w:cs="楷体"/>
          <w:b/>
          <w:bCs w:val="0"/>
          <w:color w:val="000000"/>
          <w:sz w:val="72"/>
          <w:szCs w:val="72"/>
          <w:lang w:eastAsia="zh-CN"/>
        </w:rPr>
        <w:t>普尼信用评价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bCs w:val="0"/>
          <w:color w:val="000000"/>
          <w:sz w:val="72"/>
          <w:szCs w:val="72"/>
          <w:lang w:eastAsia="zh-CN"/>
        </w:rPr>
      </w:pPr>
    </w:p>
    <w:p>
      <w:pPr>
        <w:spacing w:after="156" w:afterLines="50"/>
        <w:jc w:val="center"/>
        <w:rPr>
          <w:rFonts w:hint="eastAsia" w:ascii="楷体" w:hAnsi="楷体" w:eastAsia="楷体" w:cs="楷体"/>
          <w:b/>
          <w:bCs w:val="0"/>
          <w:color w:val="000000"/>
          <w:sz w:val="72"/>
          <w:szCs w:val="72"/>
          <w:lang w:eastAsia="zh-CN"/>
        </w:rPr>
      </w:pPr>
    </w:p>
    <w:p>
      <w:pPr>
        <w:spacing w:after="156" w:afterLines="50"/>
        <w:jc w:val="center"/>
        <w:rPr>
          <w:rFonts w:hint="eastAsia" w:ascii="楷体" w:hAnsi="楷体" w:eastAsia="楷体" w:cs="楷体"/>
          <w:b/>
          <w:bCs w:val="0"/>
          <w:color w:val="000000"/>
          <w:sz w:val="72"/>
          <w:szCs w:val="72"/>
          <w:lang w:eastAsia="zh-CN"/>
        </w:rPr>
      </w:pPr>
    </w:p>
    <w:p>
      <w:pPr>
        <w:spacing w:after="156" w:afterLines="50"/>
        <w:jc w:val="center"/>
        <w:rPr>
          <w:rFonts w:hint="eastAsia" w:ascii="楷体" w:hAnsi="楷体" w:eastAsia="楷体" w:cs="楷体"/>
          <w:b/>
          <w:bCs w:val="0"/>
          <w:color w:val="000000"/>
          <w:sz w:val="72"/>
          <w:szCs w:val="72"/>
          <w:lang w:eastAsia="zh-CN"/>
        </w:rPr>
      </w:pPr>
    </w:p>
    <w:p>
      <w:pPr>
        <w:spacing w:after="156" w:afterLines="50"/>
        <w:jc w:val="both"/>
        <w:rPr>
          <w:rFonts w:hint="eastAsia" w:ascii="宋体" w:hAnsi="宋体" w:cs="宋体"/>
          <w:b/>
          <w:color w:val="000000"/>
          <w:sz w:val="36"/>
          <w:szCs w:val="30"/>
        </w:rPr>
      </w:pPr>
      <w:bookmarkStart w:id="0" w:name="_GoBack"/>
      <w:bookmarkEnd w:id="0"/>
    </w:p>
    <w:p>
      <w:pPr>
        <w:spacing w:after="156" w:afterLines="50"/>
        <w:jc w:val="center"/>
        <w:rPr>
          <w:rFonts w:hint="eastAsia" w:ascii="宋体" w:hAnsi="宋体" w:eastAsia="宋体" w:cs="宋体"/>
          <w:b/>
          <w:color w:val="000000"/>
          <w:sz w:val="36"/>
          <w:szCs w:val="30"/>
          <w:lang w:eastAsia="zh-CN"/>
        </w:rPr>
      </w:pPr>
      <w:r>
        <w:rPr>
          <w:rFonts w:hint="eastAsia" w:ascii="宋体" w:hAnsi="宋体" w:cs="宋体"/>
          <w:b/>
          <w:color w:val="000000"/>
          <w:sz w:val="36"/>
          <w:szCs w:val="30"/>
        </w:rPr>
        <w:t>企业信用资质评级申请</w:t>
      </w:r>
      <w:r>
        <w:rPr>
          <w:rFonts w:hint="eastAsia" w:ascii="宋体" w:hAnsi="宋体" w:cs="宋体"/>
          <w:b/>
          <w:color w:val="000000"/>
          <w:sz w:val="36"/>
          <w:szCs w:val="30"/>
          <w:lang w:eastAsia="zh-CN"/>
        </w:rPr>
        <w:t>材料</w:t>
      </w:r>
    </w:p>
    <w:p>
      <w:pPr>
        <w:spacing w:after="156" w:afterLines="50"/>
        <w:jc w:val="both"/>
        <w:rPr>
          <w:rFonts w:hint="eastAsia" w:ascii="宋体" w:hAnsi="宋体" w:cs="宋体"/>
          <w:b/>
          <w:color w:val="000000"/>
          <w:sz w:val="36"/>
          <w:szCs w:val="30"/>
        </w:rPr>
      </w:pPr>
    </w:p>
    <w:p>
      <w:pPr>
        <w:spacing w:after="156" w:afterLines="50"/>
        <w:ind w:firstLine="1446" w:firstLineChars="400"/>
        <w:jc w:val="both"/>
        <w:rPr>
          <w:rFonts w:hint="eastAsia"/>
          <w:b/>
          <w:sz w:val="48"/>
          <w:szCs w:val="48"/>
        </w:rPr>
      </w:pPr>
      <w:r>
        <w:rPr>
          <w:rFonts w:hint="eastAsia" w:ascii="宋体" w:hAnsi="宋体" w:cs="宋体"/>
          <w:b/>
          <w:color w:val="000000"/>
          <w:sz w:val="36"/>
          <w:szCs w:val="30"/>
        </w:rPr>
        <w:t>企业信用资质评级申请表（*必填）</w:t>
      </w:r>
    </w:p>
    <w:tbl>
      <w:tblPr>
        <w:tblStyle w:val="4"/>
        <w:tblpPr w:leftFromText="180" w:rightFromText="180" w:vertAnchor="page" w:horzAnchor="page" w:tblpX="1515" w:tblpY="2821"/>
        <w:tblOverlap w:val="never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560"/>
        <w:gridCol w:w="2692"/>
        <w:gridCol w:w="1135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法人信息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电话号码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04" w:type="dxa"/>
            <w:vMerge w:val="continue"/>
            <w:noWrap w:val="0"/>
            <w:vAlign w:val="center"/>
          </w:tcPr>
          <w:p/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身份证件类型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企业信息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营业期限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登记机关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10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6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610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申请项目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年审联系人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及年审标签收货地址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收件地址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法人身份证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插入身份证正反面照片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4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营业执照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近三年财务指标与数据（未满三年企业无须填写）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注：已满三年企业自行选填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2134"/>
        <w:gridCol w:w="1958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</w:t>
            </w:r>
          </w:p>
        </w:tc>
        <w:tc>
          <w:tcPr>
            <w:tcW w:w="59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近三年财务数据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资产总额（万元）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资产负债率（%）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速动比率（%）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总资产周转率（次）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应收账款周转率（次）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流动资产周转率（次）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主营业务收入（万元）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净资产收益率（%）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营业收入利润率（%）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总资产报酬率（%）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销售收入增长率（%）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资本保值增值率（%）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销售利润增长率（%）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/>
    <w:p>
      <w:pPr>
        <w:pStyle w:val="7"/>
        <w:jc w:val="center"/>
        <w:rPr>
          <w:rFonts w:ascii="宋体" w:eastAsia="宋体"/>
          <w:b/>
          <w:bCs/>
          <w:kern w:val="44"/>
          <w:sz w:val="32"/>
          <w:szCs w:val="32"/>
        </w:rPr>
      </w:pPr>
      <w:r>
        <w:rPr>
          <w:rFonts w:hint="eastAsia" w:ascii="宋体" w:eastAsia="宋体"/>
          <w:b/>
          <w:bCs/>
          <w:kern w:val="44"/>
          <w:sz w:val="32"/>
          <w:szCs w:val="32"/>
        </w:rPr>
        <w:t>社会信用记录</w:t>
      </w:r>
    </w:p>
    <w:tbl>
      <w:tblPr>
        <w:tblStyle w:val="4"/>
        <w:tblpPr w:leftFromText="180" w:rightFromText="180" w:vertAnchor="text" w:horzAnchor="page" w:tblpX="1780" w:tblpY="802"/>
        <w:tblOverlap w:val="never"/>
        <w:tblW w:w="919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65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27" w:type="dxa"/>
            <w:shd w:val="clear" w:color="auto" w:fill="D6DCE4" w:themeFill="text2" w:themeFillTint="33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   目</w:t>
            </w:r>
          </w:p>
        </w:tc>
        <w:tc>
          <w:tcPr>
            <w:tcW w:w="6568" w:type="dxa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   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7" w:type="dxa"/>
            <w:shd w:val="clear" w:color="auto" w:fill="D6DCE4" w:themeFill="text2" w:themeFillTint="3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工商信用记录（近三年）</w:t>
            </w:r>
          </w:p>
        </w:tc>
        <w:tc>
          <w:tcPr>
            <w:tcW w:w="6568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□重合同守信用企业  □无不良记录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27" w:type="dxa"/>
            <w:shd w:val="clear" w:color="auto" w:fill="D6DCE4" w:themeFill="text2" w:themeFillTint="3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海关信用记录（近三年）</w:t>
            </w:r>
          </w:p>
        </w:tc>
        <w:tc>
          <w:tcPr>
            <w:tcW w:w="6568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□A类企业  □B类企业  □无不良记录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27" w:type="dxa"/>
            <w:shd w:val="clear" w:color="auto" w:fill="D6DCE4" w:themeFill="text2" w:themeFillTint="3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银行信用记录（近三年）</w:t>
            </w:r>
          </w:p>
        </w:tc>
        <w:tc>
          <w:tcPr>
            <w:tcW w:w="6568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□AAA   □AA   □A     □其他级别：         □无不良记录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评级银行：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27" w:type="dxa"/>
            <w:shd w:val="clear" w:color="auto" w:fill="D6DCE4" w:themeFill="text2" w:themeFillTint="3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税务信用记录（近三年）</w:t>
            </w:r>
          </w:p>
        </w:tc>
        <w:tc>
          <w:tcPr>
            <w:tcW w:w="6568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□纳税大户   □纳税A级企业   □无不良记录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627" w:type="dxa"/>
            <w:shd w:val="clear" w:color="auto" w:fill="D6DCE4" w:themeFill="text2" w:themeFillTint="3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产品质量检验检测（近三年）</w:t>
            </w:r>
          </w:p>
        </w:tc>
        <w:tc>
          <w:tcPr>
            <w:tcW w:w="6568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请提供检测报告/工程验收报告/服务满意度调查/软件相关认证证书</w:t>
            </w:r>
          </w:p>
        </w:tc>
      </w:tr>
    </w:tbl>
    <w:p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注：以上请提供书面证明文件</w:t>
      </w:r>
    </w:p>
    <w:p/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附件1：《企业信息调查授权委托书》</w:t>
      </w:r>
      <w:r>
        <w:rPr>
          <w:rFonts w:hint="eastAsia" w:ascii="宋体" w:hAnsi="宋体" w:cs="宋体"/>
          <w:b/>
          <w:color w:val="000000"/>
          <w:sz w:val="36"/>
          <w:szCs w:val="30"/>
        </w:rPr>
        <w:t>（*必填）</w:t>
      </w:r>
    </w:p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企业信息调查授权委托书</w:t>
      </w:r>
    </w:p>
    <w:p>
      <w:pPr>
        <w:jc w:val="center"/>
        <w:rPr>
          <w:b/>
          <w:sz w:val="36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企业自愿申请你（信用服务机构）对本单位进行中国企业信用等级评审，并委托你（信用服务机构）对本企业的信用状况进行合法的信息调查与发布结果或结果公示、，企业信息调查范围包括但不限于以下信息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、电话、邮箱、统一社会信用代码、经营状态、法定代表人、注册资本、公司类型、成立日期、营业期限、登记机关、发照日期、公司规模、所属行业、曾用名、企业地址、经营范围、股东信息、主要人员、分支机构、变更记录、被执行人、失信被执行人、裁判文书、法院公告、经营异常、股权出质、行政处罚、抽查检查、税务信息、产品信息、融资信息、动产抵押、清算信息、招聘信息、对外投资、企业年报、商标信息、专利信息、证书信息、著作权信息、软件著作权信息、网站信息等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如需要补充提供某些材料、信息，本单位承诺积极配合提供。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以上调查信息只作</w:t>
      </w: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ascii="仿宋_GB2312" w:hAnsi="仿宋_GB2312" w:eastAsia="仿宋_GB2312" w:cs="仿宋_GB2312"/>
          <w:sz w:val="28"/>
          <w:szCs w:val="28"/>
        </w:rPr>
        <w:t>内部数据分析使用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，未经许可，</w:t>
      </w:r>
      <w:r>
        <w:rPr>
          <w:rFonts w:ascii="仿宋_GB2312" w:hAnsi="仿宋_GB2312" w:eastAsia="仿宋_GB2312" w:cs="仿宋_GB2312"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</w:rPr>
        <w:t>可对外</w:t>
      </w:r>
      <w:r>
        <w:rPr>
          <w:rFonts w:ascii="仿宋_GB2312" w:hAnsi="仿宋_GB2312" w:eastAsia="仿宋_GB2312" w:cs="仿宋_GB2312"/>
          <w:sz w:val="28"/>
          <w:szCs w:val="28"/>
        </w:rPr>
        <w:t>作盈利之用途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授权委托单位：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授权委托日期：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附件2：《信用承诺书》</w:t>
      </w:r>
      <w:r>
        <w:rPr>
          <w:rFonts w:hint="eastAsia" w:ascii="宋体" w:hAnsi="宋体" w:cs="宋体"/>
          <w:b/>
          <w:color w:val="000000"/>
          <w:sz w:val="36"/>
          <w:szCs w:val="30"/>
        </w:rPr>
        <w:t>（*必填）</w:t>
      </w:r>
    </w:p>
    <w:p>
      <w:pPr>
        <w:widowControl/>
        <w:spacing w:before="312" w:beforeLines="100" w:after="312" w:afterLines="100" w:line="360" w:lineRule="auto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信用承诺书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为促进企业信用体系建设，营造良好信用环境，树立信用意识，加强企业自律，本企业自愿做出以下承诺：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一、遵守国家法律、法规和规章，依法开展生产经营活动。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二、加强财务管理，依法及时纳税，不偷税不漏税。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三、加强质量管理，保证产品和服务质量，不制假售假，不虚假宣传，维护消费者的合法权益。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四、加强合同管理，严格履行合同，不违约毁约，不恶意逃债，依法解决合同纠纷。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五、加强安全生产管理，建立健全安全生产管理制度，杜绝事故发生。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六、树立环保意识，遵守环保法规，污染物达标排放。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七、按时支付员工工资，缴纳社保，保障员工合法权益。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八、及时合规披露企业信息。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九、接受政府、行业组织、社会公众、新闻舆论监督。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十、本企业法定代表人已认真阅读了上述承诺，并向本企业员工作了宣传教育，保证履行承诺，如有违反，自愿接受政府相关机构的联合惩戒。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shd w:val="clear" w:color="auto" w:fill="FFFFFF"/>
        <w:spacing w:before="156" w:beforeLines="50" w:beforeAutospacing="0" w:after="156" w:afterLines="50" w:afterAutospacing="0" w:line="500" w:lineRule="exact"/>
        <w:ind w:right="23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承诺单位名称：</w:t>
      </w:r>
    </w:p>
    <w:p>
      <w:pPr>
        <w:pStyle w:val="3"/>
        <w:shd w:val="clear" w:color="auto" w:fill="FFFFFF"/>
        <w:spacing w:before="156" w:beforeLines="50" w:beforeAutospacing="0" w:after="156" w:afterLines="50" w:afterAutospacing="0" w:line="500" w:lineRule="exact"/>
        <w:ind w:right="23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法定代表人签字：</w:t>
      </w:r>
    </w:p>
    <w:p>
      <w:pPr>
        <w:pStyle w:val="3"/>
        <w:shd w:val="clear" w:color="auto" w:fill="FFFFFF"/>
        <w:spacing w:before="156" w:beforeLines="50" w:beforeAutospacing="0" w:after="156" w:afterLines="50" w:afterAutospacing="0" w:line="500" w:lineRule="exact"/>
        <w:ind w:right="23" w:firstLine="640" w:firstLineChars="200"/>
        <w:jc w:val="both"/>
        <w:rPr>
          <w:rFonts w:ascii="楷体" w:hAnsi="楷体" w:eastAsia="楷体" w:cs="楷体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00" w:lineRule="exact"/>
        <w:ind w:right="23"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   月  日 </w:t>
      </w:r>
    </w:p>
    <w:p/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附件3《法定代表人承诺书》：</w:t>
      </w:r>
      <w:r>
        <w:rPr>
          <w:rFonts w:hint="eastAsia" w:ascii="宋体" w:hAnsi="宋体" w:cs="宋体"/>
          <w:b/>
          <w:color w:val="000000"/>
          <w:sz w:val="36"/>
          <w:szCs w:val="30"/>
        </w:rPr>
        <w:t>（*必填）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法定代表人承诺书</w:t>
      </w:r>
    </w:p>
    <w:p>
      <w:pPr>
        <w:spacing w:line="520" w:lineRule="exact"/>
        <w:rPr>
          <w:rFonts w:hint="eastAsia"/>
          <w:sz w:val="24"/>
          <w:szCs w:val="28"/>
        </w:rPr>
      </w:pPr>
    </w:p>
    <w:p>
      <w:pPr>
        <w:spacing w:line="520" w:lineRule="exact"/>
        <w:ind w:firstLine="480" w:firstLineChars="200"/>
        <w:jc w:val="left"/>
        <w:rPr>
          <w:rFonts w:hint="eastAsia"/>
          <w:sz w:val="24"/>
          <w:szCs w:val="28"/>
        </w:rPr>
      </w:pPr>
    </w:p>
    <w:p>
      <w:pPr>
        <w:spacing w:line="520" w:lineRule="exact"/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现向</w:t>
      </w:r>
      <w:r>
        <w:rPr>
          <w:rFonts w:hint="eastAsia"/>
          <w:b/>
          <w:bCs/>
          <w:sz w:val="24"/>
          <w:szCs w:val="28"/>
          <w:lang w:val="en-US" w:eastAsia="zh-CN"/>
        </w:rPr>
        <w:t>卡普尼信用评价（北京）</w:t>
      </w:r>
      <w:r>
        <w:rPr>
          <w:rFonts w:hint="eastAsia"/>
          <w:b/>
          <w:bCs/>
          <w:sz w:val="24"/>
          <w:szCs w:val="28"/>
        </w:rPr>
        <w:t>有限公司</w:t>
      </w:r>
      <w:r>
        <w:rPr>
          <w:rFonts w:hint="eastAsia"/>
          <w:sz w:val="24"/>
          <w:szCs w:val="28"/>
        </w:rPr>
        <w:t>申请</w:t>
      </w:r>
      <w:r>
        <w:rPr>
          <w:rFonts w:hint="eastAsia"/>
          <w:sz w:val="24"/>
          <w:szCs w:val="28"/>
          <w:u w:val="single"/>
        </w:rPr>
        <w:t xml:space="preserve">                        </w:t>
      </w:r>
      <w:r>
        <w:rPr>
          <w:rFonts w:hint="eastAsia"/>
          <w:sz w:val="24"/>
          <w:szCs w:val="28"/>
        </w:rPr>
        <w:t>(企业名称)的认证登记,并郑重承诺:</w:t>
      </w:r>
    </w:p>
    <w:p>
      <w:pPr>
        <w:spacing w:line="520" w:lineRule="exac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本企业申请认证登记前不存在未结清费用、职工工资、社会保险费用、法定补偿金和未交清的应缴纳税款。</w:t>
      </w:r>
    </w:p>
    <w:p>
      <w:pPr>
        <w:spacing w:line="520" w:lineRule="exac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本企业承诺申请认证登记时不存在以下情形:涉及国家规定实施准入特别管理措施的外商投资企业;被列入企业经营异常名录或严重违法失信企业名单的;存在股权(投资权益)被冻结、出质或动产抵押等情形;有正在被立案调查或采取行政强制、司法协助、被予以行政处罚等情形的不适用企业认证登记的其他情形。</w:t>
      </w:r>
    </w:p>
    <w:p>
      <w:pPr>
        <w:spacing w:line="520" w:lineRule="exac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本企业法定代表人对以上承诺的真实性负责,如果违法失信,则由法定代表人承担相应的法律后果和责任,并自愿接受相关行政执法部门的约束和惩戒。</w:t>
      </w:r>
    </w:p>
    <w:p>
      <w:pPr>
        <w:spacing w:line="520" w:lineRule="exact"/>
        <w:rPr>
          <w:sz w:val="24"/>
          <w:szCs w:val="28"/>
        </w:rPr>
      </w:pPr>
    </w:p>
    <w:p>
      <w:pPr>
        <w:spacing w:line="520" w:lineRule="exact"/>
        <w:rPr>
          <w:sz w:val="24"/>
          <w:szCs w:val="28"/>
        </w:rPr>
      </w:pPr>
    </w:p>
    <w:p>
      <w:pPr>
        <w:spacing w:line="520" w:lineRule="exact"/>
        <w:rPr>
          <w:sz w:val="24"/>
          <w:szCs w:val="28"/>
        </w:rPr>
      </w:pPr>
    </w:p>
    <w:p>
      <w:pPr>
        <w:spacing w:line="520" w:lineRule="exact"/>
        <w:rPr>
          <w:sz w:val="24"/>
          <w:szCs w:val="28"/>
        </w:rPr>
      </w:pPr>
    </w:p>
    <w:p>
      <w:pPr>
        <w:spacing w:line="520" w:lineRule="exact"/>
        <w:rPr>
          <w:sz w:val="24"/>
          <w:szCs w:val="28"/>
        </w:rPr>
      </w:pPr>
    </w:p>
    <w:p>
      <w:pPr>
        <w:spacing w:line="520" w:lineRule="exact"/>
        <w:rPr>
          <w:rFonts w:hint="eastAsia"/>
          <w:sz w:val="24"/>
          <w:szCs w:val="28"/>
        </w:rPr>
      </w:pPr>
    </w:p>
    <w:p>
      <w:pPr>
        <w:spacing w:line="520" w:lineRule="exact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法定代表人签字(盖章):</w:t>
      </w:r>
    </w:p>
    <w:p>
      <w:pPr>
        <w:spacing w:line="520" w:lineRule="exact"/>
        <w:rPr>
          <w:rFonts w:hint="eastAsia"/>
          <w:sz w:val="24"/>
          <w:szCs w:val="28"/>
        </w:rPr>
      </w:pPr>
    </w:p>
    <w:p>
      <w:pPr>
        <w:spacing w:line="520" w:lineRule="exact"/>
        <w:ind w:firstLine="4560" w:firstLineChars="1900"/>
        <w:rPr>
          <w:rFonts w:hint="eastAsia"/>
          <w:sz w:val="24"/>
          <w:szCs w:val="28"/>
        </w:rPr>
      </w:pPr>
    </w:p>
    <w:p>
      <w:pPr>
        <w:spacing w:line="520" w:lineRule="exact"/>
        <w:ind w:firstLine="4560" w:firstLineChars="1900"/>
        <w:rPr>
          <w:rFonts w:hint="eastAsia"/>
          <w:sz w:val="24"/>
          <w:szCs w:val="28"/>
        </w:rPr>
      </w:pPr>
      <w:r>
        <w:rPr>
          <w:sz w:val="24"/>
          <w:szCs w:val="28"/>
        </w:rPr>
        <w:t>年</w:t>
      </w:r>
      <w:r>
        <w:rPr>
          <w:rFonts w:hint="eastAsia"/>
          <w:sz w:val="24"/>
          <w:szCs w:val="28"/>
        </w:rPr>
        <w:t xml:space="preserve">     </w:t>
      </w:r>
      <w:r>
        <w:rPr>
          <w:sz w:val="24"/>
          <w:szCs w:val="28"/>
        </w:rPr>
        <w:t>月</w:t>
      </w:r>
      <w:r>
        <w:rPr>
          <w:rFonts w:hint="eastAsia"/>
          <w:sz w:val="24"/>
          <w:szCs w:val="28"/>
        </w:rPr>
        <w:t xml:space="preserve">    </w:t>
      </w:r>
      <w:r>
        <w:rPr>
          <w:sz w:val="24"/>
          <w:szCs w:val="28"/>
        </w:rPr>
        <w:t>日</w:t>
      </w:r>
    </w:p>
    <w:p>
      <w:pPr>
        <w:spacing w:line="560" w:lineRule="exact"/>
        <w:rPr>
          <w:sz w:val="24"/>
          <w:szCs w:val="28"/>
        </w:rPr>
      </w:pPr>
    </w:p>
    <w:p/>
    <w:p/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《中国企业信用等级评价标准说明》</w:t>
      </w:r>
    </w:p>
    <w:p>
      <w:pPr>
        <w:widowControl/>
        <w:spacing w:before="312" w:beforeLines="100" w:after="312" w:afterLines="100" w:line="360" w:lineRule="auto"/>
        <w:jc w:val="center"/>
        <w:rPr>
          <w:rFonts w:ascii="宋体" w:hAnsi="宋体" w:cs="宋体"/>
          <w:b/>
          <w:color w:val="000000"/>
          <w:sz w:val="36"/>
          <w:szCs w:val="30"/>
        </w:rPr>
      </w:pPr>
      <w:r>
        <w:rPr>
          <w:rFonts w:hint="eastAsia" w:ascii="宋体" w:hAnsi="宋体" w:cs="宋体"/>
          <w:b/>
          <w:color w:val="000000"/>
          <w:sz w:val="36"/>
          <w:szCs w:val="30"/>
        </w:rPr>
        <w:t>中国企业信用等级评价标准说明</w:t>
      </w:r>
    </w:p>
    <w:p>
      <w:pPr>
        <w:pStyle w:val="6"/>
        <w:spacing w:line="58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一、信用等级的评定原则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中国企业信用等级评价要坚持独立公正和审慎的原则，严格按照规定的标准和程序进行，保证评定结论的合法性和权威性。</w:t>
      </w:r>
    </w:p>
    <w:p>
      <w:pPr>
        <w:widowControl/>
        <w:ind w:firstLine="6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（1）对企业信用等级评定要客观，数据真实，实事求是。</w:t>
      </w:r>
    </w:p>
    <w:p>
      <w:pPr>
        <w:widowControl/>
        <w:ind w:firstLine="6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（2）对企业信用等级评定要公正、公开，采集数据合法，不弄虚作假。</w:t>
      </w:r>
    </w:p>
    <w:p>
      <w:pPr>
        <w:widowControl/>
        <w:ind w:firstLine="6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（3）对企业信用等级评定要全面，保证数据的完整性和连续性。</w:t>
      </w:r>
    </w:p>
    <w:p>
      <w:pPr>
        <w:widowControl/>
        <w:ind w:firstLine="6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（4）对企业信用等级评定要及时，注重数据的时效性。</w:t>
      </w:r>
    </w:p>
    <w:p>
      <w:pPr>
        <w:widowControl/>
        <w:ind w:firstLine="6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（5）对企业信用等级评定要有监督机制，信用专业委员会审议后最终确定。</w:t>
      </w:r>
    </w:p>
    <w:p>
      <w:pPr>
        <w:pStyle w:val="6"/>
        <w:spacing w:line="58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二、信用等级的划分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释义说明：信用等级划分为三等五级，即：A（AAA、AA、A）、B、C，其中A级是守信企业；B级对应提示企业；C级对应失信企业。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必要时，可将B、C两等级再扩展为BBB、BB、B和CCC、CC、C六级，即三等九级（如下图）；还可对每个信用级别用“＋”、“－”进行微调，表示略高或略低于本等级。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注：AAA和C级等级符号外，其他等级可以用“+”或“-”进行调整。例如：AA﹢、AA－对AA级别进行微调，AA﹢高于AA级，AA－低于AA级。</w:t>
      </w:r>
    </w:p>
    <w:p/>
    <w:tbl>
      <w:tblPr>
        <w:tblStyle w:val="4"/>
        <w:tblW w:w="0" w:type="auto"/>
        <w:tblInd w:w="7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00"/>
        <w:gridCol w:w="832"/>
        <w:gridCol w:w="4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等级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widowControl/>
              <w:ind w:firstLine="422" w:firstLineChars="200"/>
              <w:jc w:val="lef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计分标准</w:t>
            </w:r>
          </w:p>
        </w:tc>
        <w:tc>
          <w:tcPr>
            <w:tcW w:w="4928" w:type="dxa"/>
            <w:vMerge w:val="restart"/>
            <w:noWrap w:val="0"/>
            <w:vAlign w:val="center"/>
          </w:tcPr>
          <w:p>
            <w:pPr>
              <w:widowControl/>
              <w:ind w:firstLine="422" w:firstLineChars="200"/>
              <w:jc w:val="lef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释义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下限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上限</w:t>
            </w:r>
          </w:p>
        </w:tc>
        <w:tc>
          <w:tcPr>
            <w:tcW w:w="4928" w:type="dxa"/>
            <w:vMerge w:val="continue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A</w:t>
            </w:r>
            <w:r>
              <w:rPr>
                <w:rFonts w:hint="eastAsia" w:ascii="仿宋_GB2312" w:hAnsi="宋体" w:eastAsia="仿宋_GB2312"/>
              </w:rPr>
              <w:t>AA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85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100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该类企业经营状况好，发展前景很广阔，不确定性因素对其经营和发展的影响极小，具有优秀的信用记录。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A</w:t>
            </w:r>
            <w:r>
              <w:rPr>
                <w:rFonts w:hint="eastAsia" w:ascii="仿宋_GB2312" w:hAnsi="宋体" w:eastAsia="仿宋_GB2312"/>
              </w:rPr>
              <w:t>A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84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该类企业经营状况较好，发展前景广阔，不确定因素对其经营与发展的影响很小，具有良好的信用记录。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A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74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该类企业经营处于良性循环状态，不确定因素对其经营与发展的影响较小，具有较好的信用记录。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BBB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55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64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该类企业基本具备支付能力，稍有风险，不确定因素会对其经营与发展产生影响，信用状况一般。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BB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54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该类企业支付能力不稳定，有一定的风险，信用状况欠佳。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B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35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44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该类企业近期支付能力不稳定，有很大风险，信用状况较差。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CCC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25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34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该类企业偿债能力不可靠，可能违约，对经营环境和其它内外部条件变化较为敏感，容易受到冲击，具有较大的不确定性，信用状况很差。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CC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15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24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该类企业偿债能力差，信用状况差。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C</w:t>
            </w:r>
          </w:p>
        </w:tc>
        <w:tc>
          <w:tcPr>
            <w:tcW w:w="1732" w:type="dxa"/>
            <w:gridSpan w:val="2"/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15分以下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该类企业完全丧失支付能力，信用状况极差。</w:t>
            </w:r>
          </w:p>
        </w:tc>
      </w:tr>
    </w:tbl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各级别定义如下：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AAA（85</w:t>
      </w:r>
      <w:r>
        <w:rPr>
          <w:rFonts w:ascii="仿宋_GB2312" w:hAnsi="宋体" w:eastAsia="仿宋_GB2312"/>
          <w:sz w:val="28"/>
          <w:szCs w:val="28"/>
        </w:rPr>
        <w:t>-100</w:t>
      </w:r>
      <w:r>
        <w:rPr>
          <w:rFonts w:hint="eastAsia" w:ascii="仿宋_GB2312" w:hAnsi="宋体" w:eastAsia="仿宋_GB2312"/>
          <w:sz w:val="28"/>
          <w:szCs w:val="28"/>
        </w:rPr>
        <w:t>）：该类企业经营状况好，发展前景很广阔，不确定性因素对其经营和发展的影响极小，具有优秀的信用记录。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AA（75-84）：该类企业经营状况较好，发展前景广阔，不确定因素对其经营与发展的影响很小，具有良好的信用记录。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A（65-74）：该类企业经营处于良性循环状态，不确定因素对其经营与发展的影响较小，具有较好的信用记录。</w:t>
      </w:r>
    </w:p>
    <w:p>
      <w:pPr>
        <w:widowControl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BBB（55-64）：该类企业基本具备支付能力，稍有风险，不确定因素会对其经营与发展产生影响，信用状况一般。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BB（45-54）：该类企业支付能力不稳定，有一定的风险，信用状况欠佳。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B（35-44）：该类企业近期支付能力不稳定，有很大风险，信用状况较差。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CCC（25-34）：该类企业偿债能力不可靠，可能违约，对经营环境和其它内外部条件变化较为敏感，容易受到冲击，具有较大的不确定性，信用状况很差。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CC（15-24）：该类企业偿债能力差，信用状况差。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C（15分以下）：该类企业完全丧失支付能力，信用状况极差。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ind w:firstLine="2530" w:firstLineChars="700"/>
        <w:jc w:val="both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说  明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一、《信用承诺书》适用范围为：政府机关、企业，包括事业单位等其他经济组织。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二、承诺企业的权利义务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提交承诺书、营业执照并签字盖章；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填写企业可公开档案信息，保证信息真实；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遵守承诺事项；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如违反承诺将接受国家相关机构的信用惩戒；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享受我机构的信用应用服务及优惠活动。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三、我中心的权利义务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gree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对承诺企业进行事前信用调查，调查合格的企业将给予核实确认的标志；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在全国企业认证信息查询系统网站进行公示；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定期对信用承诺企业进行舆情监控；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对违反承诺的企业列入黑名单，并实施联合惩戒；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 定期对信用承诺企业进行信用宣传、引导。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四、营业执照、法人身份证照片；</w:t>
      </w:r>
    </w:p>
    <w:p>
      <w:pPr>
        <w:widowControl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156DA"/>
    <w:rsid w:val="4201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p0"/>
    <w:basedOn w:val="1"/>
    <w:qFormat/>
    <w:uiPriority w:val="0"/>
    <w:pPr>
      <w:widowControl/>
      <w:spacing w:line="240" w:lineRule="auto"/>
    </w:pPr>
    <w:rPr>
      <w:rFonts w:ascii="宋体" w:hAnsi="宋体" w:cs="宋体"/>
      <w:kern w:val="0"/>
      <w:sz w:val="21"/>
      <w:szCs w:val="21"/>
    </w:rPr>
  </w:style>
  <w:style w:type="paragraph" w:customStyle="1" w:styleId="7">
    <w:name w:val="标题3"/>
    <w:basedOn w:val="2"/>
    <w:qFormat/>
    <w:uiPriority w:val="0"/>
    <w:pPr>
      <w:spacing w:before="120" w:after="120" w:line="360" w:lineRule="auto"/>
      <w:jc w:val="left"/>
    </w:pPr>
    <w:rPr>
      <w:rFonts w:ascii="仿宋_GB2312" w:hAnsi="宋体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2021-07-19T02:22:00Z</dcterms:created>
  <dc:creator>元奎</dc:creator>
  <cp:lastModifiedBy>元奎</cp:lastModifiedBy>
  <dcterms:modified xsi:type="dcterms:W3CDTF">2021-07-19T02:45:42Z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32ADE4FA3EA74CF2A21320FE0AEFE87C</vt:lpwstr>
  </property>
</Properties>
</file>